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791" w:rsidRDefault="00FA0791" w:rsidP="00DB1233">
      <w:pPr>
        <w:spacing w:after="0"/>
      </w:pPr>
    </w:p>
    <w:p w:rsidR="00FA0791" w:rsidRDefault="00FA0791" w:rsidP="00DB1233">
      <w:pPr>
        <w:spacing w:after="0"/>
      </w:pPr>
    </w:p>
    <w:p w:rsidR="00FA0791" w:rsidRDefault="00FA0791" w:rsidP="00DB1233">
      <w:pPr>
        <w:spacing w:after="0"/>
      </w:pPr>
    </w:p>
    <w:p w:rsidR="00FA0791" w:rsidRDefault="00FA0791" w:rsidP="00DB1233">
      <w:pPr>
        <w:spacing w:after="0"/>
      </w:pPr>
    </w:p>
    <w:p w:rsidR="00FA0791" w:rsidRDefault="00FA0791" w:rsidP="00DB1233">
      <w:pPr>
        <w:spacing w:after="0"/>
      </w:pPr>
    </w:p>
    <w:p w:rsidR="00FA0791" w:rsidRDefault="00FA0791" w:rsidP="00DB1233">
      <w:pPr>
        <w:spacing w:after="0"/>
      </w:pPr>
    </w:p>
    <w:p w:rsidR="00FA0791" w:rsidRDefault="00FA0791" w:rsidP="00DB1233">
      <w:pPr>
        <w:spacing w:after="0"/>
      </w:pPr>
    </w:p>
    <w:p w:rsidR="00FA0791" w:rsidRDefault="00FA0791" w:rsidP="00DB1233">
      <w:pPr>
        <w:spacing w:after="0"/>
        <w:jc w:val="center"/>
      </w:pPr>
      <w:r>
        <w:t>Impact of Courtroom Layout on Juror Perception of Accused</w:t>
      </w:r>
    </w:p>
    <w:p w:rsidR="00FA0791" w:rsidRDefault="00FA0791" w:rsidP="00DB1233">
      <w:pPr>
        <w:spacing w:after="0"/>
        <w:jc w:val="center"/>
      </w:pPr>
      <w:r>
        <w:t>Name of Student</w:t>
      </w:r>
    </w:p>
    <w:p w:rsidR="00FA0791" w:rsidRDefault="00FA0791" w:rsidP="00DB1233">
      <w:pPr>
        <w:spacing w:after="0"/>
        <w:jc w:val="center"/>
      </w:pPr>
      <w:r>
        <w:t>Name of Institution</w:t>
      </w:r>
    </w:p>
    <w:p w:rsidR="00FA0791" w:rsidRDefault="00FA0791" w:rsidP="00DB1233">
      <w:pPr>
        <w:spacing w:after="0"/>
        <w:jc w:val="center"/>
      </w:pPr>
      <w:r>
        <w:t>Date</w:t>
      </w:r>
    </w:p>
    <w:p w:rsidR="00FA0791" w:rsidRDefault="00FA0791" w:rsidP="00DB1233">
      <w:pPr>
        <w:spacing w:after="0"/>
      </w:pPr>
      <w:r>
        <w:br w:type="page"/>
      </w:r>
    </w:p>
    <w:p w:rsidR="00DB1233" w:rsidRDefault="00DB1233" w:rsidP="00DB1233">
      <w:pPr>
        <w:spacing w:after="0"/>
        <w:jc w:val="center"/>
      </w:pPr>
      <w:bookmarkStart w:id="0" w:name="_GoBack"/>
      <w:r>
        <w:lastRenderedPageBreak/>
        <w:t xml:space="preserve">Impact of Courtroom </w:t>
      </w:r>
      <w:bookmarkEnd w:id="0"/>
      <w:r>
        <w:t>Layout on Juror Perception of Accused</w:t>
      </w:r>
    </w:p>
    <w:p w:rsidR="009245F0" w:rsidRDefault="00381196" w:rsidP="00DB1233">
      <w:pPr>
        <w:spacing w:after="0"/>
        <w:ind w:firstLine="720"/>
        <w:jc w:val="both"/>
      </w:pPr>
      <w:r>
        <w:t xml:space="preserve">Jurors, for most States are fundamental in the course of criminal trials relative to sanctions for the defendant. Though their decision must be unbiased, external factors are prominent in the shape and form of their verdict such as gender, race, and socio-economic status. These factors are variables which differ with each proceeding, but a prominent constant is the setup of the court room. </w:t>
      </w:r>
      <w:r w:rsidR="0000551A">
        <w:t xml:space="preserve">Different setup of the court rooms </w:t>
      </w:r>
      <w:r w:rsidR="00DB1233">
        <w:t>are</w:t>
      </w:r>
      <w:r w:rsidR="0000551A">
        <w:t xml:space="preserve"> defined by the location prescribed to the jurors, lawyers, and defendant in a court room in relation to the judge. The most prominent setup asserted by the study is the use ‘bail-box’ primarily set aside from the three parties to isolate the accused. The dock in the scenario adopted may be confined with glass, or metal cages, or in other scenes where confinement was not adopted. </w:t>
      </w:r>
      <w:r>
        <w:t xml:space="preserve">The study assesses the effect of the court </w:t>
      </w:r>
      <w:r w:rsidR="0000551A">
        <w:t xml:space="preserve">layout </w:t>
      </w:r>
      <w:r>
        <w:t xml:space="preserve">concerning the placement of the defendant on the perception of the jurors. </w:t>
      </w:r>
    </w:p>
    <w:p w:rsidR="0000551A" w:rsidRDefault="004B5DFA" w:rsidP="00DB1233">
      <w:pPr>
        <w:spacing w:after="0"/>
        <w:ind w:firstLine="720"/>
        <w:jc w:val="both"/>
      </w:pPr>
      <w:r>
        <w:t>The study adopted the hypothesis that fear resulted in punitive responses mostly to the jurors. Another hypothesis used is that jurors adopt personality and schemas to relate the presented evidence and fill in the gaps left. The judgment passed on by the jurors in cases with less time, more cognitive load, or demoralization brought about by fatigue heavily relied on perceived conception of the accused.</w:t>
      </w:r>
    </w:p>
    <w:p w:rsidR="004B5DFA" w:rsidRDefault="004B5DFA" w:rsidP="00DB1233">
      <w:pPr>
        <w:spacing w:after="0"/>
        <w:ind w:firstLine="720"/>
        <w:jc w:val="both"/>
      </w:pPr>
      <w:r>
        <w:t>The study adopted 258 mock jurors, where 142 of them were women, aged between 18 to 82 with a mean age of 44.49 and a standard deviation of 16.32.</w:t>
      </w:r>
      <w:r w:rsidR="008F600A">
        <w:t xml:space="preserve"> Digital imaging manipulated the appearance of a court room with four different layouts; seated by the bar, open dock, guarded open dock, and bail dock surrounded with glass. Participants were required to pay attention, to allow adequate stimuli, and accumulate data from the manipulation. Their demographic assessment was carried out. The study inquired for five words from the mock jurors aimed at their capability at </w:t>
      </w:r>
      <w:r w:rsidR="008F600A">
        <w:lastRenderedPageBreak/>
        <w:t xml:space="preserve">deciphering what sort of crime the defendant was accused of, and the probable culpability of the accused on a scale of one to seven. </w:t>
      </w:r>
    </w:p>
    <w:p w:rsidR="00B0061B" w:rsidRDefault="008F600A" w:rsidP="00DB1233">
      <w:pPr>
        <w:spacing w:after="0"/>
        <w:ind w:firstLine="720"/>
        <w:jc w:val="both"/>
      </w:pPr>
      <w:r>
        <w:t>Participants’ descriptions were coded into nine concepts, and given a score of nine. The results</w:t>
      </w:r>
      <w:r w:rsidR="007D4988">
        <w:t xml:space="preserve"> of ANOVA</w:t>
      </w:r>
      <w:r>
        <w:t xml:space="preserve"> </w:t>
      </w:r>
      <w:r w:rsidR="007D4988">
        <w:t xml:space="preserve">analysis </w:t>
      </w:r>
      <w:r>
        <w:t xml:space="preserve">indicated that the layout of the courtroom </w:t>
      </w:r>
      <w:r w:rsidR="007D4988">
        <w:t xml:space="preserve">had no critical influence on the criminal persona description of the accused. The guard on an open dock plighted a response of negative traits by the participants. The defendants condition in a bar table setup as opposed to the guarded dock, while more significance of the same was placed on the open dock as compared to the bar table. The layout also describes the impact to an accused of being distant and disinterest. These findings indicate that the layout of the courtroom affects the </w:t>
      </w:r>
      <w:r w:rsidR="00124CA1">
        <w:t>jurors’</w:t>
      </w:r>
      <w:r w:rsidR="007D4988">
        <w:t xml:space="preserve"> perception of the defendant</w:t>
      </w:r>
      <w:r w:rsidR="00124CA1">
        <w:t xml:space="preserve">. </w:t>
      </w:r>
    </w:p>
    <w:p w:rsidR="008F600A" w:rsidRDefault="00124CA1" w:rsidP="00DB1233">
      <w:pPr>
        <w:spacing w:after="0"/>
        <w:ind w:firstLine="720"/>
        <w:jc w:val="both"/>
      </w:pPr>
      <w:r>
        <w:t xml:space="preserve">The guarded dock scenario led to descriptions of disinterest, open dock perceived the accused as distant and emotionally closed, and a more negative cognizance for defendants in the dock and glass dock. The likelihood for all scenarios in terms of men deviation includes; a bar table reading of 4.81, open dock at 4.61, correctional officer at 4.39, ad a glass dock at 4.19. </w:t>
      </w:r>
      <w:r w:rsidR="00B0061B">
        <w:t xml:space="preserve">The class dock was highly associated with cases of violent crimes with a deviation n of p=.05 more than expected. The perceived violent crimes ranged from glass dock, 40.9%, correctional officer 15.9%, open dock 29.5%, and bar table 13.6%. </w:t>
      </w:r>
    </w:p>
    <w:p w:rsidR="00FA0791" w:rsidRDefault="00B0061B" w:rsidP="00DB1233">
      <w:pPr>
        <w:spacing w:after="0"/>
        <w:ind w:firstLine="720"/>
        <w:jc w:val="both"/>
      </w:pPr>
      <w:r>
        <w:t>I was personally not aware of all the different layouts of the courtroom, but I understand now, even with years o</w:t>
      </w:r>
      <w:r w:rsidR="00DB1233">
        <w:t>f</w:t>
      </w:r>
      <w:r>
        <w:t xml:space="preserve"> experience as a juror, perceptions are critical determinants of the verdict given by the jurors. The findings of this study are fundamental in the determination of presentation of defendant to </w:t>
      </w:r>
      <w:r w:rsidR="003A6832">
        <w:t>jurors</w:t>
      </w:r>
      <w:r>
        <w:t xml:space="preserve"> for effective perception. </w:t>
      </w:r>
      <w:r w:rsidR="003A6832">
        <w:t xml:space="preserve">My opinion changed in this assessment by learning the value of incorporating and dissociating from descriptive situations when assessing anyone. </w:t>
      </w:r>
    </w:p>
    <w:sdt>
      <w:sdtPr>
        <w:rPr>
          <w:rFonts w:ascii="Times New Roman" w:eastAsiaTheme="minorHAnsi" w:hAnsi="Times New Roman" w:cstheme="minorBidi"/>
          <w:b w:val="0"/>
          <w:bCs w:val="0"/>
          <w:color w:val="auto"/>
          <w:sz w:val="24"/>
          <w:szCs w:val="22"/>
          <w:lang w:eastAsia="en-US"/>
        </w:rPr>
        <w:id w:val="-704405946"/>
        <w:docPartObj>
          <w:docPartGallery w:val="Bibliographies"/>
          <w:docPartUnique/>
        </w:docPartObj>
      </w:sdtPr>
      <w:sdtEndPr/>
      <w:sdtContent>
        <w:p w:rsidR="00FA0791" w:rsidRPr="00FA0791" w:rsidRDefault="00FA0791" w:rsidP="00DB1233">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FA0791" w:rsidRDefault="00FA0791" w:rsidP="00DB1233">
              <w:pPr>
                <w:pStyle w:val="Bibliography"/>
                <w:spacing w:after="0"/>
                <w:ind w:left="720" w:hanging="720"/>
                <w:rPr>
                  <w:noProof/>
                </w:rPr>
              </w:pPr>
              <w:r>
                <w:fldChar w:fldCharType="begin"/>
              </w:r>
              <w:r>
                <w:instrText xml:space="preserve"> BIBLIOGRAPHY </w:instrText>
              </w:r>
              <w:r>
                <w:fldChar w:fldCharType="separate"/>
              </w:r>
              <w:r>
                <w:rPr>
                  <w:noProof/>
                </w:rPr>
                <w:t xml:space="preserve">McKimmie, B. M., Hays, J. M., &amp; Tait, D. (2016). Just spaces: does courtroom design affect how the defendant is perceived?. </w:t>
              </w:r>
              <w:r>
                <w:rPr>
                  <w:i/>
                  <w:iCs/>
                  <w:noProof/>
                </w:rPr>
                <w:t>Psychiatry, psychology and law, 23</w:t>
              </w:r>
              <w:r>
                <w:rPr>
                  <w:noProof/>
                </w:rPr>
                <w:t>(6), 885-892. Retrieved from http://www.tandfonline.com/doi/abs/10.1080/13218719.2016.1174054#.V04kAlepdiM</w:t>
              </w:r>
            </w:p>
            <w:p w:rsidR="00FA0791" w:rsidRDefault="00FA0791" w:rsidP="00DB1233">
              <w:pPr>
                <w:spacing w:after="0"/>
              </w:pPr>
              <w:r>
                <w:rPr>
                  <w:b/>
                  <w:bCs/>
                  <w:noProof/>
                </w:rPr>
                <w:fldChar w:fldCharType="end"/>
              </w:r>
            </w:p>
          </w:sdtContent>
        </w:sdt>
      </w:sdtContent>
    </w:sdt>
    <w:p w:rsidR="00B0061B" w:rsidRDefault="00B0061B" w:rsidP="00DB1233">
      <w:pPr>
        <w:spacing w:after="0"/>
        <w:ind w:firstLine="720"/>
      </w:pPr>
    </w:p>
    <w:sectPr w:rsidR="00B0061B" w:rsidSect="00FA079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01F" w:rsidRDefault="0029401F" w:rsidP="00FA0791">
      <w:pPr>
        <w:spacing w:after="0" w:line="240" w:lineRule="auto"/>
      </w:pPr>
      <w:r>
        <w:separator/>
      </w:r>
    </w:p>
  </w:endnote>
  <w:endnote w:type="continuationSeparator" w:id="0">
    <w:p w:rsidR="0029401F" w:rsidRDefault="0029401F" w:rsidP="00FA0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01F" w:rsidRDefault="0029401F" w:rsidP="00FA0791">
      <w:pPr>
        <w:spacing w:after="0" w:line="240" w:lineRule="auto"/>
      </w:pPr>
      <w:r>
        <w:separator/>
      </w:r>
    </w:p>
  </w:footnote>
  <w:footnote w:type="continuationSeparator" w:id="0">
    <w:p w:rsidR="0029401F" w:rsidRDefault="0029401F" w:rsidP="00FA0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91" w:rsidRDefault="00FA0791">
    <w:pPr>
      <w:pStyle w:val="Header"/>
      <w:jc w:val="right"/>
    </w:pPr>
    <w:r>
      <w:t xml:space="preserve">IMPACT OF COURTROOM LAYOUT </w:t>
    </w:r>
    <w:r>
      <w:tab/>
    </w:r>
    <w:r>
      <w:tab/>
    </w:r>
    <w:sdt>
      <w:sdtPr>
        <w:id w:val="-3839478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1233">
          <w:rPr>
            <w:noProof/>
          </w:rPr>
          <w:t>2</w:t>
        </w:r>
        <w:r>
          <w:rPr>
            <w:noProof/>
          </w:rPr>
          <w:fldChar w:fldCharType="end"/>
        </w:r>
      </w:sdtContent>
    </w:sdt>
  </w:p>
  <w:p w:rsidR="00FA0791" w:rsidRDefault="00FA07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0791" w:rsidRDefault="00FA0791">
    <w:pPr>
      <w:pStyle w:val="Header"/>
      <w:jc w:val="right"/>
    </w:pPr>
    <w:r>
      <w:t xml:space="preserve">Running Head: IMPACT OF COURTROOM LAYOUT </w:t>
    </w:r>
    <w:r>
      <w:tab/>
    </w:r>
    <w:sdt>
      <w:sdtPr>
        <w:id w:val="-2057771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1233">
          <w:rPr>
            <w:noProof/>
          </w:rPr>
          <w:t>1</w:t>
        </w:r>
        <w:r>
          <w:rPr>
            <w:noProof/>
          </w:rPr>
          <w:fldChar w:fldCharType="end"/>
        </w:r>
      </w:sdtContent>
    </w:sdt>
  </w:p>
  <w:p w:rsidR="00FA0791" w:rsidRDefault="00FA07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43"/>
    <w:rsid w:val="0000551A"/>
    <w:rsid w:val="00124CA1"/>
    <w:rsid w:val="0029401F"/>
    <w:rsid w:val="002B0910"/>
    <w:rsid w:val="00381196"/>
    <w:rsid w:val="003A6832"/>
    <w:rsid w:val="003A7543"/>
    <w:rsid w:val="004B5DFA"/>
    <w:rsid w:val="00513C96"/>
    <w:rsid w:val="006E6D27"/>
    <w:rsid w:val="007D4988"/>
    <w:rsid w:val="008F600A"/>
    <w:rsid w:val="009245F0"/>
    <w:rsid w:val="00B0061B"/>
    <w:rsid w:val="00DB1233"/>
    <w:rsid w:val="00F3597C"/>
    <w:rsid w:val="00FA0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16AF"/>
  <w15:docId w15:val="{2CD8F742-C28D-4D0D-B884-F8198C7B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A079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0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910"/>
    <w:rPr>
      <w:rFonts w:ascii="Tahoma" w:hAnsi="Tahoma" w:cs="Tahoma"/>
      <w:sz w:val="16"/>
      <w:szCs w:val="16"/>
    </w:rPr>
  </w:style>
  <w:style w:type="character" w:customStyle="1" w:styleId="Heading1Char">
    <w:name w:val="Heading 1 Char"/>
    <w:basedOn w:val="DefaultParagraphFont"/>
    <w:link w:val="Heading1"/>
    <w:uiPriority w:val="9"/>
    <w:rsid w:val="00FA079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A0791"/>
  </w:style>
  <w:style w:type="paragraph" w:styleId="Header">
    <w:name w:val="header"/>
    <w:basedOn w:val="Normal"/>
    <w:link w:val="HeaderChar"/>
    <w:uiPriority w:val="99"/>
    <w:unhideWhenUsed/>
    <w:rsid w:val="00FA0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791"/>
  </w:style>
  <w:style w:type="paragraph" w:styleId="Footer">
    <w:name w:val="footer"/>
    <w:basedOn w:val="Normal"/>
    <w:link w:val="FooterChar"/>
    <w:uiPriority w:val="99"/>
    <w:unhideWhenUsed/>
    <w:rsid w:val="00FA0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McK16</b:Tag>
    <b:SourceType>JournalArticle</b:SourceType>
    <b:Guid>{E57159FD-2B1B-43A3-96A9-132815AE1B8B}</b:Guid>
    <b:Title>Just spaces: does courtroom design affect how the defendant is perceived?.</b:Title>
    <b:JournalName>Psychiatry, psychology and law</b:JournalName>
    <b:Year>2016</b:Year>
    <b:Pages>885-892</b:Pages>
    <b:Author>
      <b:Author>
        <b:NameList>
          <b:Person>
            <b:Last>McKimmie</b:Last>
            <b:Middle>M.</b:Middle>
            <b:First>Blake</b:First>
          </b:Person>
          <b:Person>
            <b:Last>Hays</b:Last>
            <b:Middle>M.</b:Middle>
            <b:First>Jillian</b:First>
          </b:Person>
          <b:Person>
            <b:Last>Tait</b:Last>
            <b:First>David</b:First>
          </b:Person>
        </b:NameList>
      </b:Author>
    </b:Author>
    <b:Volume>23</b:Volume>
    <b:Issue>6</b:Issue>
    <b:URL>http://www.tandfonline.com/doi/abs/10.1080/13218719.2016.1174054#.V04kAlepdiM</b:URL>
    <b:RefOrder>1</b:RefOrder>
  </b:Source>
</b:Sources>
</file>

<file path=customXml/itemProps1.xml><?xml version="1.0" encoding="utf-8"?>
<ds:datastoreItem xmlns:ds="http://schemas.openxmlformats.org/officeDocument/2006/customXml" ds:itemID="{56763E85-93F8-44E0-AA4A-F34DDB7D4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2019-04-23T01:47:00Z</dcterms:created>
  <dcterms:modified xsi:type="dcterms:W3CDTF">2019-04-23T01:47:00Z</dcterms:modified>
</cp:coreProperties>
</file>